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center"/>
        <w:outlineLvl w:val="0"/>
        <w:rPr>
          <w:rFonts w:ascii="Calibri" w:hAnsi="Calibri" w:eastAsia="方正仿宋_GBK" w:cs="方正楷体_GBK"/>
          <w:b/>
          <w:bCs/>
          <w:kern w:val="2"/>
          <w:sz w:val="32"/>
          <w:szCs w:val="32"/>
          <w:lang w:val="en-US"/>
        </w:rPr>
      </w:pPr>
      <w:r>
        <w:rPr>
          <w:rFonts w:hint="eastAsia" w:ascii="Calibri" w:hAnsi="Calibri" w:eastAsia="方正仿宋_GBK" w:cs="方正楷体_GBK"/>
          <w:b/>
          <w:bCs/>
          <w:kern w:val="2"/>
          <w:sz w:val="32"/>
          <w:szCs w:val="32"/>
          <w:lang w:val="en-US"/>
        </w:rPr>
        <w:t>国网山西电力-2024年数智化重点工作支持-业务运营项目</w:t>
      </w:r>
    </w:p>
    <w:p>
      <w:pPr>
        <w:widowControl w:val="0"/>
        <w:spacing w:after="0" w:line="580" w:lineRule="exact"/>
        <w:ind w:firstLine="640" w:firstLineChars="200"/>
        <w:jc w:val="both"/>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rPr>
        <w:t>2</w:t>
      </w:r>
      <w:r>
        <w:rPr>
          <w:rFonts w:ascii="方正仿宋_GBK" w:hAnsi="方正仿宋_GBK" w:eastAsia="方正仿宋_GBK" w:cs="方正仿宋_GBK"/>
          <w:kern w:val="2"/>
          <w:sz w:val="32"/>
          <w:szCs w:val="32"/>
          <w:lang w:val="en-US"/>
        </w:rPr>
        <w:t>024</w:t>
      </w:r>
      <w:r>
        <w:rPr>
          <w:rFonts w:hint="eastAsia" w:ascii="方正仿宋_GBK" w:hAnsi="方正仿宋_GBK" w:eastAsia="方正仿宋_GBK" w:cs="方正仿宋_GBK"/>
          <w:kern w:val="2"/>
          <w:sz w:val="32"/>
          <w:szCs w:val="32"/>
          <w:lang w:val="en-US"/>
        </w:rPr>
        <w:t>年，国网</w:t>
      </w:r>
      <w:r>
        <w:rPr>
          <w:rFonts w:ascii="方正仿宋_GBK" w:hAnsi="方正仿宋_GBK" w:eastAsia="方正仿宋_GBK" w:cs="方正仿宋_GBK"/>
          <w:kern w:val="2"/>
          <w:sz w:val="32"/>
          <w:szCs w:val="32"/>
          <w:lang w:val="en-US"/>
        </w:rPr>
        <w:t>公司两会提出要以保障国家能源安全、服务“双碳”目标 为战略引领，推动数智化坚强电网建设。为贯彻落实</w:t>
      </w:r>
      <w:r>
        <w:rPr>
          <w:rFonts w:hint="eastAsia" w:ascii="方正仿宋_GBK" w:hAnsi="方正仿宋_GBK" w:eastAsia="方正仿宋_GBK" w:cs="方正仿宋_GBK"/>
          <w:kern w:val="2"/>
          <w:sz w:val="32"/>
          <w:szCs w:val="32"/>
          <w:lang w:val="en-US"/>
        </w:rPr>
        <w:t>国网</w:t>
      </w:r>
      <w:r>
        <w:rPr>
          <w:rFonts w:ascii="方正仿宋_GBK" w:hAnsi="方正仿宋_GBK" w:eastAsia="方正仿宋_GBK" w:cs="方正仿宋_GBK"/>
          <w:kern w:val="2"/>
          <w:sz w:val="32"/>
          <w:szCs w:val="32"/>
          <w:lang w:val="en-US"/>
        </w:rPr>
        <w:t>公司两会精神，全面赋能数智化坚强电网建设，加快推进公司全业务、全环节数字化转型，切实强化数字化智能化支撑，大力推动数字技术、先进信息通信技术、控制技术与能源电力技术深度融合，</w:t>
      </w:r>
      <w:r>
        <w:rPr>
          <w:rFonts w:hint="eastAsia" w:ascii="方正仿宋_GBK" w:hAnsi="方正仿宋_GBK" w:eastAsia="方正仿宋_GBK" w:cs="方正仿宋_GBK"/>
          <w:kern w:val="2"/>
          <w:sz w:val="32"/>
          <w:szCs w:val="32"/>
          <w:lang w:val="en-US"/>
        </w:rPr>
        <w:t>公司开展</w:t>
      </w:r>
      <w:r>
        <w:rPr>
          <w:rFonts w:ascii="方正仿宋_GBK" w:hAnsi="方正仿宋_GBK" w:eastAsia="方正仿宋_GBK" w:cs="方正仿宋_GBK"/>
          <w:kern w:val="2"/>
          <w:sz w:val="32"/>
          <w:szCs w:val="32"/>
          <w:lang w:val="en-US"/>
        </w:rPr>
        <w:t>数智化</w:t>
      </w:r>
      <w:r>
        <w:rPr>
          <w:rFonts w:hint="eastAsia" w:ascii="方正仿宋_GBK" w:hAnsi="方正仿宋_GBK" w:eastAsia="方正仿宋_GBK" w:cs="方正仿宋_GBK"/>
          <w:kern w:val="2"/>
          <w:sz w:val="32"/>
          <w:szCs w:val="32"/>
          <w:lang w:val="en-US"/>
        </w:rPr>
        <w:t>重点工作支持工作，主要包括</w:t>
      </w:r>
      <w:r>
        <w:rPr>
          <w:rFonts w:hint="eastAsia" w:ascii="方正仿宋_GBK" w:hAnsi="方正仿宋_GBK" w:eastAsia="方正仿宋_GBK" w:cs="方正仿宋_GBK"/>
          <w:b/>
          <w:bCs/>
          <w:kern w:val="2"/>
          <w:sz w:val="32"/>
          <w:szCs w:val="32"/>
          <w:lang w:val="en-US"/>
        </w:rPr>
        <w:t>赋能数智化坚强电网落地支撑、数字化样板工程传播支撑、数字化建设成效中期评估业务支撑、数字化重点工作管控能力提升技术支持及数智化人才队伍体系建设技术支撑</w:t>
      </w:r>
      <w:r>
        <w:rPr>
          <w:rFonts w:hint="eastAsia" w:ascii="方正仿宋_GBK" w:hAnsi="方正仿宋_GBK" w:eastAsia="方正仿宋_GBK" w:cs="方正仿宋_GBK"/>
          <w:kern w:val="2"/>
          <w:sz w:val="32"/>
          <w:szCs w:val="32"/>
          <w:lang w:val="en-US"/>
        </w:rPr>
        <w:t>等五方面支撑需求</w:t>
      </w:r>
      <w:r>
        <w:rPr>
          <w:rFonts w:hint="eastAsia" w:ascii="方正仿宋_GBK" w:hAnsi="方正仿宋_GBK" w:eastAsia="方正仿宋_GBK" w:cs="方正仿宋_GBK"/>
          <w:kern w:val="2"/>
          <w:sz w:val="32"/>
          <w:szCs w:val="32"/>
          <w:lang w:val="en-US" w:eastAsia="zh-CN"/>
        </w:rPr>
        <w:t>。</w:t>
      </w:r>
    </w:p>
    <w:p>
      <w:pPr>
        <w:widowControl w:val="0"/>
        <w:spacing w:line="240" w:lineRule="auto"/>
        <w:jc w:val="both"/>
        <w:rPr>
          <w:rFonts w:ascii="方正仿宋_GBK" w:hAnsi="方正仿宋_GBK" w:eastAsia="方正仿宋_GBK" w:cs="方正仿宋_GBK"/>
          <w:b/>
          <w:bCs/>
          <w:kern w:val="2"/>
          <w:sz w:val="28"/>
          <w:szCs w:val="28"/>
          <w:lang w:val="en-US"/>
        </w:rPr>
      </w:pPr>
    </w:p>
    <w:p>
      <w:pPr>
        <w:widowControl w:val="0"/>
        <w:spacing w:line="240" w:lineRule="auto"/>
        <w:jc w:val="both"/>
        <w:rPr>
          <w:rFonts w:ascii="方正仿宋_GBK" w:hAnsi="方正仿宋_GBK" w:eastAsia="方正仿宋_GBK" w:cs="方正仿宋_GBK"/>
          <w:b/>
          <w:bCs/>
          <w:kern w:val="2"/>
          <w:sz w:val="28"/>
          <w:szCs w:val="28"/>
          <w:lang w:val="en-US"/>
        </w:rPr>
      </w:pPr>
      <w:r>
        <w:rPr>
          <w:rFonts w:hint="eastAsia" w:ascii="方正仿宋_GBK" w:hAnsi="方正仿宋_GBK" w:eastAsia="方正仿宋_GBK" w:cs="方正仿宋_GBK"/>
          <w:b/>
          <w:bCs/>
          <w:kern w:val="2"/>
          <w:sz w:val="28"/>
          <w:szCs w:val="28"/>
          <w:lang w:val="en-US"/>
        </w:rPr>
        <w:t>1、</w:t>
      </w:r>
      <w:r>
        <w:rPr>
          <w:rFonts w:hint="eastAsia" w:ascii="方正仿宋_GBK" w:hAnsi="方正仿宋_GBK" w:eastAsia="方正仿宋_GBK" w:cs="方正仿宋_GBK"/>
          <w:b/>
          <w:bCs/>
          <w:kern w:val="2"/>
          <w:sz w:val="32"/>
          <w:szCs w:val="32"/>
          <w:lang w:val="en-US"/>
        </w:rPr>
        <w:t>赋能数智化坚强电网任务落地支撑</w:t>
      </w:r>
      <w:bookmarkStart w:id="0" w:name="_GoBack"/>
      <w:bookmarkEnd w:id="0"/>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kern w:val="2"/>
          <w:sz w:val="32"/>
          <w:szCs w:val="32"/>
          <w:lang w:val="en-US"/>
        </w:rPr>
        <w:t>配合山西公司开展总部赋能数智化坚强电网建设2024年行动方案的落地运营，结合国网公司对打造数智化坚强电网目标及要求，聚焦赋能新型电力系统、核心业务质效提升，跟踪前沿技术发展，辅助制定山西公司行动方案，深入调研公司建设现状，评估推进数智化坚强电网建设过程中所具备的条件以及面临的挑战，梳理工作任务，制定细分工作目标推进计划、实施策略等，确保行动方向符合总部和山西要求。</w:t>
      </w:r>
    </w:p>
    <w:p>
      <w:pPr>
        <w:widowControl w:val="0"/>
        <w:spacing w:line="580" w:lineRule="exact"/>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成果物：</w:t>
      </w:r>
      <w:r>
        <w:rPr>
          <w:rFonts w:hint="eastAsia" w:ascii="方正仿宋_GBK" w:hAnsi="方正仿宋_GBK" w:eastAsia="方正仿宋_GBK" w:cs="方正仿宋_GBK"/>
          <w:kern w:val="2"/>
          <w:sz w:val="32"/>
          <w:szCs w:val="32"/>
          <w:lang w:val="en-US"/>
        </w:rPr>
        <w:t>《数智化坚强电网解读报告》《国网山西赋能数智化坚强电网现状评估》《国网山西赋能数智化坚强电网行动方案》《国网山西赋能数智化坚强电网行动保障体系》</w:t>
      </w:r>
    </w:p>
    <w:p>
      <w:pPr>
        <w:widowControl w:val="0"/>
        <w:spacing w:line="240" w:lineRule="auto"/>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2、数字化样板工程传播支撑</w:t>
      </w:r>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kern w:val="2"/>
          <w:sz w:val="32"/>
          <w:szCs w:val="32"/>
          <w:lang w:val="en-US"/>
        </w:rPr>
        <w:t>结合总部和山西公司重点工作任务，辅助数字化部打造数字化配电网、源网荷储数碳互动等样板工程，提炼典型应用场景进行推广，形成可复制、可推广的典型示范经验；支撑山西公司做好样板工程的宣传策划、宣传手册编制、宣传推广活动，通过内、外部渠道进行宣传推广，推进数字化转型优秀成果的规模化沉淀，扩大实用化宣传效应。</w:t>
      </w:r>
    </w:p>
    <w:p>
      <w:pPr>
        <w:widowControl w:val="0"/>
        <w:spacing w:line="580" w:lineRule="exact"/>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成果物：</w:t>
      </w:r>
      <w:r>
        <w:rPr>
          <w:rFonts w:hint="eastAsia" w:ascii="方正仿宋_GBK" w:hAnsi="方正仿宋_GBK" w:eastAsia="方正仿宋_GBK" w:cs="方正仿宋_GBK"/>
          <w:kern w:val="2"/>
          <w:sz w:val="32"/>
          <w:szCs w:val="32"/>
          <w:lang w:val="en-US"/>
        </w:rPr>
        <w:t>《国网山西数字化样板案例报告》《国网山西数字化样板案例宣传方案》《国网山西数字化样板案例宣传手册》</w:t>
      </w:r>
    </w:p>
    <w:p>
      <w:pPr>
        <w:widowControl w:val="0"/>
        <w:spacing w:line="240" w:lineRule="auto"/>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3、数字化建设成效中期评估业务支撑</w:t>
      </w:r>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kern w:val="2"/>
          <w:sz w:val="32"/>
          <w:szCs w:val="32"/>
          <w:lang w:val="en-US"/>
        </w:rPr>
        <w:t>按照国网公司统一工作要求，配合山西公司分析过去三年（21—23年）数字化任务完成情况，总结建设成效，完成数字化建设成效中期评估工作，并结合公司在2024年、2025年两年内的数字化重点工作，协助分解工作任务实施路径。</w:t>
      </w:r>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b/>
          <w:bCs/>
          <w:kern w:val="2"/>
          <w:sz w:val="32"/>
          <w:szCs w:val="32"/>
          <w:lang w:val="en-US"/>
        </w:rPr>
        <w:t>成果物：</w:t>
      </w:r>
      <w:r>
        <w:rPr>
          <w:rFonts w:hint="eastAsia" w:ascii="方正仿宋_GBK" w:hAnsi="方正仿宋_GBK" w:eastAsia="方正仿宋_GBK" w:cs="方正仿宋_GBK"/>
          <w:kern w:val="2"/>
          <w:sz w:val="32"/>
          <w:szCs w:val="32"/>
          <w:lang w:val="en-US"/>
        </w:rPr>
        <w:t>《数字化工作中期评估报告》</w:t>
      </w:r>
    </w:p>
    <w:p>
      <w:pPr>
        <w:widowControl w:val="0"/>
        <w:spacing w:line="580" w:lineRule="exact"/>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4、数字化重点工作管控能力提升技术支持</w:t>
      </w:r>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kern w:val="2"/>
          <w:sz w:val="32"/>
          <w:szCs w:val="32"/>
          <w:lang w:val="en-US"/>
        </w:rPr>
        <w:t>结合国网公司工作要求，协助山西公司开展数字化重点工作管控机制的建立和落地。配合数字化部</w:t>
      </w:r>
      <w:r>
        <w:rPr>
          <w:rFonts w:ascii="方正仿宋_GBK" w:hAnsi="方正仿宋_GBK" w:eastAsia="方正仿宋_GBK" w:cs="方正仿宋_GBK"/>
          <w:kern w:val="2"/>
          <w:sz w:val="32"/>
          <w:szCs w:val="32"/>
          <w:lang w:val="en-US"/>
        </w:rPr>
        <w:t>从目标管理、流程管理、风险管理等方面，</w:t>
      </w:r>
      <w:r>
        <w:rPr>
          <w:rFonts w:hint="eastAsia" w:ascii="方正仿宋_GBK" w:hAnsi="方正仿宋_GBK" w:eastAsia="方正仿宋_GBK" w:cs="方正仿宋_GBK"/>
          <w:kern w:val="2"/>
          <w:sz w:val="32"/>
          <w:szCs w:val="32"/>
          <w:lang w:val="en-US"/>
        </w:rPr>
        <w:t>开展数字化工作数据统计分析，配合数字化部定期开展数字化工作月度通报，提升工作管控执行效率，</w:t>
      </w:r>
      <w:r>
        <w:rPr>
          <w:rFonts w:ascii="方正仿宋_GBK" w:hAnsi="方正仿宋_GBK" w:eastAsia="方正仿宋_GBK" w:cs="方正仿宋_GBK"/>
          <w:kern w:val="2"/>
          <w:sz w:val="32"/>
          <w:szCs w:val="32"/>
          <w:lang w:val="en-US"/>
        </w:rPr>
        <w:t>促进</w:t>
      </w:r>
      <w:r>
        <w:rPr>
          <w:rFonts w:hint="eastAsia" w:ascii="方正仿宋_GBK" w:hAnsi="方正仿宋_GBK" w:eastAsia="方正仿宋_GBK" w:cs="方正仿宋_GBK"/>
          <w:kern w:val="2"/>
          <w:sz w:val="32"/>
          <w:szCs w:val="32"/>
          <w:lang w:val="en-US"/>
        </w:rPr>
        <w:t>数字化转型工作的务实推进和实用实效。</w:t>
      </w:r>
    </w:p>
    <w:p>
      <w:pPr>
        <w:widowControl w:val="0"/>
        <w:spacing w:line="580" w:lineRule="exact"/>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成果物：</w:t>
      </w:r>
      <w:r>
        <w:rPr>
          <w:rFonts w:hint="eastAsia" w:ascii="方正仿宋_GBK" w:hAnsi="方正仿宋_GBK" w:eastAsia="方正仿宋_GBK" w:cs="方正仿宋_GBK"/>
          <w:kern w:val="2"/>
          <w:sz w:val="32"/>
          <w:szCs w:val="32"/>
          <w:lang w:val="en-US"/>
        </w:rPr>
        <w:t>《国网山西数字化项目进度管控现状分析》《国网山西数字化项目进度管控方案》《国网山西数字化项目进展各阶段月度报告》</w:t>
      </w:r>
    </w:p>
    <w:p>
      <w:pPr>
        <w:widowControl w:val="0"/>
        <w:spacing w:line="580" w:lineRule="exact"/>
        <w:jc w:val="both"/>
        <w:rPr>
          <w:rFonts w:ascii="方正仿宋_GBK" w:hAnsi="方正仿宋_GBK" w:eastAsia="方正仿宋_GBK" w:cs="方正仿宋_GBK"/>
          <w:b/>
          <w:bCs/>
          <w:kern w:val="2"/>
          <w:sz w:val="32"/>
          <w:szCs w:val="32"/>
          <w:lang w:val="en-US"/>
        </w:rPr>
      </w:pPr>
      <w:r>
        <w:rPr>
          <w:rFonts w:hint="eastAsia" w:ascii="方正仿宋_GBK" w:hAnsi="方正仿宋_GBK" w:eastAsia="方正仿宋_GBK" w:cs="方正仿宋_GBK"/>
          <w:b/>
          <w:bCs/>
          <w:kern w:val="2"/>
          <w:sz w:val="32"/>
          <w:szCs w:val="32"/>
          <w:lang w:val="en-US"/>
        </w:rPr>
        <w:t>5、“业数融合”数智化人才队伍体系建设技术支撑</w:t>
      </w:r>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kern w:val="2"/>
          <w:sz w:val="32"/>
          <w:szCs w:val="32"/>
          <w:lang w:val="en-US"/>
        </w:rPr>
        <w:t>根据国网公司对数智化人才队伍建设的指导意见，结合省公司赋能数智化坚强电网的需要，通过现状调研、对标优秀省公司的方式，配合数字化部明确省公司对“业数融合”人才的要求，完善人才队伍建设体系，强化数字化人才梯队建设。支撑数字化部搭建“一对一”个性化人才培养机制，制定培训与发展计划，配合数字化部开展数智化专业技能培训，丰富团队业务知识、提升数字化技能以及数字化工具的使用能力，强化数智化人才队伍的“业数融合”思维及能力。</w:t>
      </w:r>
    </w:p>
    <w:p>
      <w:pPr>
        <w:widowControl w:val="0"/>
        <w:spacing w:line="580" w:lineRule="exact"/>
        <w:jc w:val="both"/>
        <w:rPr>
          <w:rFonts w:ascii="方正仿宋_GBK" w:hAnsi="方正仿宋_GBK" w:eastAsia="方正仿宋_GBK" w:cs="方正仿宋_GBK"/>
          <w:kern w:val="2"/>
          <w:sz w:val="32"/>
          <w:szCs w:val="32"/>
          <w:lang w:val="en-US"/>
        </w:rPr>
      </w:pPr>
      <w:r>
        <w:rPr>
          <w:rFonts w:hint="eastAsia" w:ascii="方正仿宋_GBK" w:hAnsi="方正仿宋_GBK" w:eastAsia="方正仿宋_GBK" w:cs="方正仿宋_GBK"/>
          <w:b/>
          <w:bCs/>
          <w:kern w:val="2"/>
          <w:sz w:val="32"/>
          <w:szCs w:val="32"/>
          <w:lang w:val="en-US"/>
        </w:rPr>
        <w:t>成果物：</w:t>
      </w:r>
      <w:r>
        <w:rPr>
          <w:rFonts w:hint="eastAsia" w:ascii="方正仿宋_GBK" w:hAnsi="方正仿宋_GBK" w:eastAsia="方正仿宋_GBK" w:cs="方正仿宋_GBK"/>
          <w:kern w:val="2"/>
          <w:sz w:val="32"/>
          <w:szCs w:val="32"/>
          <w:lang w:val="en-US"/>
        </w:rPr>
        <w:t>《“业数融合”数智化人才队伍体系建设方案》、《人员培训方案》、《培训计划》</w:t>
      </w:r>
    </w:p>
    <w:p>
      <w:pPr>
        <w:widowControl w:val="0"/>
        <w:spacing w:line="580" w:lineRule="exact"/>
        <w:jc w:val="both"/>
        <w:rPr>
          <w:rFonts w:ascii="方正仿宋_GBK" w:hAnsi="方正仿宋_GBK" w:eastAsia="方正仿宋_GBK" w:cs="方正仿宋_GBK"/>
          <w:kern w:val="2"/>
          <w:sz w:val="32"/>
          <w:szCs w:val="32"/>
          <w:lang w:val="en-US"/>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029457"/>
    </w:sdtPr>
    <w:sdtContent>
      <w:p>
        <w:pPr>
          <w:pStyle w:val="2"/>
          <w:jc w:val="center"/>
        </w:pPr>
        <w:r>
          <w:fldChar w:fldCharType="begin"/>
        </w:r>
        <w:r>
          <w:instrText xml:space="preserve"> PAGE   \* MERGEFORMAT </w:instrText>
        </w:r>
        <w:r>
          <w:fldChar w:fldCharType="separate"/>
        </w:r>
        <w:r>
          <w:t>2</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MmMxZjg3N2YwZTcwOWZiZWIzOGIxMzdhMjk0M2IifQ=="/>
  </w:docVars>
  <w:rsids>
    <w:rsidRoot w:val="005A47B1"/>
    <w:rsid w:val="00046CA0"/>
    <w:rsid w:val="000813A1"/>
    <w:rsid w:val="00096149"/>
    <w:rsid w:val="00192471"/>
    <w:rsid w:val="001A0908"/>
    <w:rsid w:val="00264637"/>
    <w:rsid w:val="00264FEB"/>
    <w:rsid w:val="00284DFE"/>
    <w:rsid w:val="002C5F8C"/>
    <w:rsid w:val="002F4A39"/>
    <w:rsid w:val="00372B53"/>
    <w:rsid w:val="003B3A7A"/>
    <w:rsid w:val="003C49F7"/>
    <w:rsid w:val="00422157"/>
    <w:rsid w:val="004D6A43"/>
    <w:rsid w:val="00502FCA"/>
    <w:rsid w:val="00551129"/>
    <w:rsid w:val="00582DEF"/>
    <w:rsid w:val="0058696A"/>
    <w:rsid w:val="00597413"/>
    <w:rsid w:val="005A47B1"/>
    <w:rsid w:val="00643D7E"/>
    <w:rsid w:val="00670B6C"/>
    <w:rsid w:val="006C3291"/>
    <w:rsid w:val="006D68FB"/>
    <w:rsid w:val="006D6D6B"/>
    <w:rsid w:val="0072292B"/>
    <w:rsid w:val="0078464D"/>
    <w:rsid w:val="007B42EE"/>
    <w:rsid w:val="007D03DC"/>
    <w:rsid w:val="00802115"/>
    <w:rsid w:val="0084484C"/>
    <w:rsid w:val="0086038C"/>
    <w:rsid w:val="00860889"/>
    <w:rsid w:val="009002F8"/>
    <w:rsid w:val="0090205F"/>
    <w:rsid w:val="00902CC7"/>
    <w:rsid w:val="00934272"/>
    <w:rsid w:val="00963624"/>
    <w:rsid w:val="00976712"/>
    <w:rsid w:val="00995929"/>
    <w:rsid w:val="009A0802"/>
    <w:rsid w:val="00A10FF7"/>
    <w:rsid w:val="00A24AB1"/>
    <w:rsid w:val="00A365D8"/>
    <w:rsid w:val="00A66F56"/>
    <w:rsid w:val="00A87D7F"/>
    <w:rsid w:val="00AC0607"/>
    <w:rsid w:val="00AC16EF"/>
    <w:rsid w:val="00AF09F7"/>
    <w:rsid w:val="00B05B97"/>
    <w:rsid w:val="00B1442F"/>
    <w:rsid w:val="00B25CA3"/>
    <w:rsid w:val="00B26769"/>
    <w:rsid w:val="00B4239D"/>
    <w:rsid w:val="00B55FCA"/>
    <w:rsid w:val="00B75CB2"/>
    <w:rsid w:val="00B77137"/>
    <w:rsid w:val="00B959D0"/>
    <w:rsid w:val="00BA08E1"/>
    <w:rsid w:val="00BA5802"/>
    <w:rsid w:val="00C24EA6"/>
    <w:rsid w:val="00C57A49"/>
    <w:rsid w:val="00C91220"/>
    <w:rsid w:val="00CB4156"/>
    <w:rsid w:val="00CF0BA7"/>
    <w:rsid w:val="00CF3369"/>
    <w:rsid w:val="00CF5CE5"/>
    <w:rsid w:val="00D42932"/>
    <w:rsid w:val="00D606E4"/>
    <w:rsid w:val="00D65CCC"/>
    <w:rsid w:val="00D951AC"/>
    <w:rsid w:val="00DD590B"/>
    <w:rsid w:val="00DF6FC6"/>
    <w:rsid w:val="00E0170A"/>
    <w:rsid w:val="00E310E0"/>
    <w:rsid w:val="00E31CA0"/>
    <w:rsid w:val="00F82259"/>
    <w:rsid w:val="00FB45F5"/>
    <w:rsid w:val="068F4D2B"/>
    <w:rsid w:val="0B1B71F4"/>
    <w:rsid w:val="215811DB"/>
    <w:rsid w:val="26BD0165"/>
    <w:rsid w:val="349F37C8"/>
    <w:rsid w:val="3F664723"/>
    <w:rsid w:val="41A35337"/>
    <w:rsid w:val="5A941F20"/>
    <w:rsid w:val="607C3946"/>
    <w:rsid w:val="62A607BD"/>
    <w:rsid w:val="6CC031D9"/>
    <w:rsid w:val="7CEA3C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pacing w:after="0" w:line="240" w:lineRule="auto"/>
    </w:pPr>
  </w:style>
  <w:style w:type="paragraph" w:styleId="3">
    <w:name w:val="header"/>
    <w:basedOn w:val="1"/>
    <w:link w:val="6"/>
    <w:unhideWhenUsed/>
    <w:uiPriority w:val="99"/>
    <w:pPr>
      <w:tabs>
        <w:tab w:val="center" w:pos="4153"/>
        <w:tab w:val="right" w:pos="8306"/>
      </w:tabs>
      <w:spacing w:after="0" w:line="240" w:lineRule="auto"/>
    </w:pPr>
  </w:style>
  <w:style w:type="character" w:customStyle="1" w:styleId="6">
    <w:name w:val="页眉 字符"/>
    <w:basedOn w:val="5"/>
    <w:link w:val="3"/>
    <w:uiPriority w:val="99"/>
  </w:style>
  <w:style w:type="character" w:customStyle="1" w:styleId="7">
    <w:name w:val="页脚 字符"/>
    <w:basedOn w:val="5"/>
    <w:link w:val="2"/>
    <w:uiPriority w:val="99"/>
  </w:style>
  <w:style w:type="paragraph" w:styleId="8">
    <w:name w:val="List Paragraph"/>
    <w:basedOn w:val="1"/>
    <w:qFormat/>
    <w:uiPriority w:val="99"/>
    <w:pPr>
      <w:widowControl w:val="0"/>
      <w:spacing w:line="240" w:lineRule="atLeast"/>
      <w:ind w:left="720"/>
      <w:contextualSpacing/>
      <w:jc w:val="both"/>
    </w:pPr>
    <w:rPr>
      <w:rFonts w:eastAsia="方正仿宋_GBK" w:cs="方正楷体_GBK"/>
      <w:b/>
      <w:bCs/>
      <w:kern w:val="2"/>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261</Words>
  <Characters>1489</Characters>
  <Lines>12</Lines>
  <Paragraphs>3</Paragraphs>
  <TotalTime>24</TotalTime>
  <ScaleCrop>false</ScaleCrop>
  <LinksUpToDate>false</LinksUpToDate>
  <CharactersWithSpaces>1747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2024-02-08T00:22:00Z</dcterms:created>
  <dc:creator>Zheng, Jacky (GZ/MC)</dc:creator>
  <cp:lastModifiedBy>ZhL</cp:lastModifiedBy>
  <cp:lastPrinted>2024-02-07T07:38:00Z</cp:lastPrinted>
  <dcterms:modified xsi:type="dcterms:W3CDTF">2024-03-02T03:19:14Z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D284926EC5654852B7CBCAF64C8E5C08_12</vt:lpwstr>
  </property>
</Properties>
</file>